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F73726">
        <w:rPr>
          <w:rFonts w:ascii="Calibri" w:hAnsi="Calibri" w:cs="Arial"/>
          <w:b/>
          <w:bCs/>
          <w:iCs/>
          <w:color w:val="7F7F7F" w:themeColor="text1" w:themeTint="80"/>
          <w:sz w:val="26"/>
          <w:szCs w:val="26"/>
        </w:rPr>
        <w:t>3</w:t>
      </w:r>
      <w:r w:rsidR="006D41F4">
        <w:rPr>
          <w:rFonts w:ascii="Calibri" w:hAnsi="Calibri" w:cs="Arial"/>
          <w:b/>
          <w:bCs/>
          <w:iCs/>
          <w:color w:val="7F7F7F" w:themeColor="text1" w:themeTint="80"/>
          <w:sz w:val="26"/>
          <w:szCs w:val="26"/>
        </w:rPr>
        <w:t xml:space="preserve"> </w:t>
      </w:r>
      <w:r w:rsidR="00F73726">
        <w:rPr>
          <w:rFonts w:ascii="Calibri" w:hAnsi="Calibri" w:cs="Arial"/>
          <w:b/>
          <w:bCs/>
          <w:iCs/>
          <w:color w:val="7F7F7F" w:themeColor="text1" w:themeTint="80"/>
          <w:sz w:val="26"/>
          <w:szCs w:val="26"/>
        </w:rPr>
        <w:t>tres</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6D41F4">
        <w:rPr>
          <w:rFonts w:ascii="Calibri" w:hAnsi="Calibri" w:cs="Arial"/>
          <w:b/>
          <w:color w:val="7F7F7F" w:themeColor="text1" w:themeTint="80"/>
          <w:sz w:val="26"/>
          <w:szCs w:val="26"/>
        </w:rPr>
        <w:t>480/2015-JN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9A0057">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bookmarkStart w:id="0" w:name="_GoBack"/>
      <w:bookmarkEnd w:id="0"/>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6D41F4">
        <w:rPr>
          <w:rFonts w:ascii="Calibri" w:hAnsi="Calibri" w:cs="Arial"/>
          <w:color w:val="7F7F7F" w:themeColor="text1" w:themeTint="80"/>
          <w:sz w:val="26"/>
          <w:szCs w:val="26"/>
        </w:rPr>
        <w:t>12 doce de mayo</w:t>
      </w:r>
      <w:r w:rsidRPr="00BF5CA7">
        <w:rPr>
          <w:rFonts w:ascii="Calibri" w:hAnsi="Calibri" w:cs="Arial"/>
          <w:color w:val="7F7F7F" w:themeColor="text1" w:themeTint="80"/>
          <w:sz w:val="26"/>
          <w:szCs w:val="26"/>
        </w:rPr>
        <w:t xml:space="preserve"> 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A93CBE" w:rsidRDefault="004B3DFC" w:rsidP="00A93CBE">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w:t>
      </w:r>
    </w:p>
    <w:p w:rsidR="00A93CBE" w:rsidRDefault="00A93CBE" w:rsidP="00A93CB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480/2015-JN</w:t>
      </w:r>
    </w:p>
    <w:p w:rsidR="00A93CBE" w:rsidRDefault="00A93CBE" w:rsidP="00A93CBE">
      <w:pPr>
        <w:ind w:firstLine="708"/>
        <w:jc w:val="both"/>
        <w:rPr>
          <w:rFonts w:ascii="Calibri" w:hAnsi="Calibri"/>
          <w:color w:val="7F7F7F" w:themeColor="text1" w:themeTint="80"/>
          <w:sz w:val="26"/>
          <w:szCs w:val="26"/>
        </w:rPr>
      </w:pPr>
    </w:p>
    <w:p w:rsidR="004B3DFC" w:rsidRPr="00A93CBE" w:rsidRDefault="004B3DFC" w:rsidP="00A93CBE">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clausura</w:t>
      </w:r>
      <w:proofErr w:type="gramEnd"/>
      <w:r w:rsidRPr="00BF5CA7">
        <w:rPr>
          <w:rFonts w:ascii="Calibri" w:hAnsi="Calibri"/>
          <w:color w:val="7F7F7F" w:themeColor="text1" w:themeTint="80"/>
          <w:sz w:val="26"/>
          <w:szCs w:val="26"/>
        </w:rPr>
        <w:t xml:space="preserve">;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6D41F4">
        <w:rPr>
          <w:rFonts w:ascii="Calibri" w:hAnsi="Calibri" w:cs="Calibri"/>
          <w:color w:val="7F7F7F" w:themeColor="text1" w:themeTint="80"/>
          <w:sz w:val="26"/>
          <w:szCs w:val="26"/>
        </w:rPr>
        <w:t>12 doce de mayo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2919BC">
        <w:rPr>
          <w:rFonts w:ascii="Calibri" w:hAnsi="Calibri"/>
          <w:color w:val="7F7F7F" w:themeColor="text1" w:themeTint="80"/>
          <w:sz w:val="26"/>
          <w:szCs w:val="26"/>
        </w:rPr>
        <w:t>DGFC/DT/0261/2015/JA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A93CBE">
        <w:rPr>
          <w:rFonts w:ascii="Calibri" w:hAnsi="Calibri"/>
          <w:color w:val="7F7F7F" w:themeColor="text1" w:themeTint="80"/>
          <w:sz w:val="26"/>
          <w:szCs w:val="26"/>
        </w:rPr>
        <w:t xml:space="preserve">.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Pr="00BF5CA7"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p>
    <w:p w:rsidR="004B3DFC" w:rsidRDefault="004B3DFC" w:rsidP="004B3DFC">
      <w:pPr>
        <w:jc w:val="both"/>
        <w:rPr>
          <w:rFonts w:ascii="Calibri" w:hAnsi="Calibri"/>
          <w:bCs/>
          <w:iCs/>
          <w:color w:val="7F7F7F" w:themeColor="text1" w:themeTint="80"/>
          <w:sz w:val="26"/>
          <w:szCs w:val="26"/>
          <w:highlight w:val="yellow"/>
        </w:rPr>
      </w:pPr>
    </w:p>
    <w:p w:rsidR="00E83986" w:rsidRPr="00F9490B" w:rsidRDefault="00E83986" w:rsidP="00E83986">
      <w:pPr>
        <w:ind w:firstLine="708"/>
        <w:jc w:val="both"/>
        <w:rPr>
          <w:rFonts w:ascii="Calibri" w:hAnsi="Calibri"/>
          <w:bCs/>
          <w:iCs/>
          <w:color w:val="7F7F7F" w:themeColor="text1" w:themeTint="80"/>
          <w:sz w:val="26"/>
          <w:szCs w:val="26"/>
        </w:rPr>
      </w:pPr>
      <w:r w:rsidRPr="00F9490B">
        <w:rPr>
          <w:rFonts w:ascii="Calibri" w:hAnsi="Calibri"/>
          <w:bCs/>
          <w:iCs/>
          <w:color w:val="7F7F7F" w:themeColor="text1" w:themeTint="80"/>
          <w:sz w:val="26"/>
          <w:szCs w:val="26"/>
        </w:rPr>
        <w:t>Asentado lo anterior, se advierte que en el presente proceso, el Director General de Fiscalización y Control e Inspector</w:t>
      </w:r>
      <w:r w:rsidR="00114938">
        <w:rPr>
          <w:rFonts w:ascii="Calibri" w:hAnsi="Calibri"/>
          <w:bCs/>
          <w:iCs/>
          <w:color w:val="7F7F7F" w:themeColor="text1" w:themeTint="80"/>
          <w:sz w:val="26"/>
          <w:szCs w:val="26"/>
        </w:rPr>
        <w:t xml:space="preserve"> demandados</w:t>
      </w:r>
      <w:r w:rsidRPr="00F9490B">
        <w:rPr>
          <w:rFonts w:ascii="Calibri" w:hAnsi="Calibri"/>
          <w:bCs/>
          <w:iCs/>
          <w:color w:val="7F7F7F" w:themeColor="text1" w:themeTint="80"/>
          <w:sz w:val="26"/>
          <w:szCs w:val="26"/>
        </w:rPr>
        <w:t>, exterioriza</w:t>
      </w:r>
      <w:r>
        <w:rPr>
          <w:rFonts w:ascii="Calibri" w:hAnsi="Calibri"/>
          <w:bCs/>
          <w:iCs/>
          <w:color w:val="7F7F7F" w:themeColor="text1" w:themeTint="80"/>
          <w:sz w:val="26"/>
          <w:szCs w:val="26"/>
        </w:rPr>
        <w:t>ro</w:t>
      </w:r>
      <w:r w:rsidRPr="00F9490B">
        <w:rPr>
          <w:rFonts w:ascii="Calibri" w:hAnsi="Calibri"/>
          <w:bCs/>
          <w:iCs/>
          <w:color w:val="7F7F7F" w:themeColor="text1" w:themeTint="80"/>
          <w:sz w:val="26"/>
          <w:szCs w:val="26"/>
        </w:rPr>
        <w:t>n que el proceso es improcedente; aduciendo que se actualiza</w:t>
      </w:r>
      <w:r w:rsidR="00A93CBE">
        <w:rPr>
          <w:rFonts w:ascii="Calibri" w:hAnsi="Calibri"/>
          <w:bCs/>
          <w:iCs/>
          <w:color w:val="7F7F7F" w:themeColor="text1" w:themeTint="80"/>
          <w:sz w:val="26"/>
          <w:szCs w:val="26"/>
        </w:rPr>
        <w:t>n</w:t>
      </w:r>
      <w:r w:rsidRPr="00F9490B">
        <w:rPr>
          <w:rFonts w:ascii="Calibri" w:hAnsi="Calibri"/>
          <w:bCs/>
          <w:iCs/>
          <w:color w:val="7F7F7F" w:themeColor="text1" w:themeTint="80"/>
          <w:sz w:val="26"/>
          <w:szCs w:val="26"/>
        </w:rPr>
        <w:t xml:space="preserve"> la</w:t>
      </w:r>
      <w:r w:rsidR="00EE4879">
        <w:rPr>
          <w:rFonts w:ascii="Calibri" w:hAnsi="Calibri"/>
          <w:bCs/>
          <w:iCs/>
          <w:color w:val="7F7F7F" w:themeColor="text1" w:themeTint="80"/>
          <w:sz w:val="26"/>
          <w:szCs w:val="26"/>
        </w:rPr>
        <w:t>s</w:t>
      </w:r>
      <w:r w:rsidRPr="00F9490B">
        <w:rPr>
          <w:rFonts w:ascii="Calibri" w:hAnsi="Calibri"/>
          <w:bCs/>
          <w:iCs/>
          <w:color w:val="7F7F7F" w:themeColor="text1" w:themeTint="80"/>
          <w:sz w:val="26"/>
          <w:szCs w:val="26"/>
        </w:rPr>
        <w:t xml:space="preserve"> causal</w:t>
      </w:r>
      <w:r w:rsidR="00EE4879">
        <w:rPr>
          <w:rFonts w:ascii="Calibri" w:hAnsi="Calibri"/>
          <w:bCs/>
          <w:iCs/>
          <w:color w:val="7F7F7F" w:themeColor="text1" w:themeTint="80"/>
          <w:sz w:val="26"/>
          <w:szCs w:val="26"/>
        </w:rPr>
        <w:t>es</w:t>
      </w:r>
      <w:r w:rsidRPr="00F9490B">
        <w:rPr>
          <w:rFonts w:ascii="Calibri" w:hAnsi="Calibri"/>
          <w:bCs/>
          <w:iCs/>
          <w:color w:val="7F7F7F" w:themeColor="text1" w:themeTint="80"/>
          <w:sz w:val="26"/>
          <w:szCs w:val="26"/>
        </w:rPr>
        <w:t xml:space="preserve"> prevista</w:t>
      </w:r>
      <w:r w:rsidR="00EE4879">
        <w:rPr>
          <w:rFonts w:ascii="Calibri" w:hAnsi="Calibri"/>
          <w:bCs/>
          <w:iCs/>
          <w:color w:val="7F7F7F" w:themeColor="text1" w:themeTint="80"/>
          <w:sz w:val="26"/>
          <w:szCs w:val="26"/>
        </w:rPr>
        <w:t>s</w:t>
      </w:r>
      <w:r w:rsidRPr="00F9490B">
        <w:rPr>
          <w:rFonts w:ascii="Calibri" w:hAnsi="Calibri"/>
          <w:bCs/>
          <w:iCs/>
          <w:color w:val="7F7F7F" w:themeColor="text1" w:themeTint="80"/>
          <w:sz w:val="26"/>
          <w:szCs w:val="26"/>
        </w:rPr>
        <w:t xml:space="preserve"> e</w:t>
      </w:r>
      <w:r>
        <w:rPr>
          <w:rFonts w:ascii="Calibri" w:hAnsi="Calibri"/>
          <w:bCs/>
          <w:iCs/>
          <w:color w:val="7F7F7F" w:themeColor="text1" w:themeTint="80"/>
          <w:sz w:val="26"/>
          <w:szCs w:val="26"/>
        </w:rPr>
        <w:t>n el artículo 261, en su</w:t>
      </w:r>
      <w:r w:rsidR="00EE4879">
        <w:rPr>
          <w:rFonts w:ascii="Calibri" w:hAnsi="Calibri"/>
          <w:bCs/>
          <w:iCs/>
          <w:color w:val="7F7F7F" w:themeColor="text1" w:themeTint="80"/>
          <w:sz w:val="26"/>
          <w:szCs w:val="26"/>
        </w:rPr>
        <w:t>s</w:t>
      </w:r>
      <w:r>
        <w:rPr>
          <w:rFonts w:ascii="Calibri" w:hAnsi="Calibri"/>
          <w:bCs/>
          <w:iCs/>
          <w:color w:val="7F7F7F" w:themeColor="text1" w:themeTint="80"/>
          <w:sz w:val="26"/>
          <w:szCs w:val="26"/>
        </w:rPr>
        <w:t xml:space="preserve"> fracci</w:t>
      </w:r>
      <w:r w:rsidR="00EE4879">
        <w:rPr>
          <w:rFonts w:ascii="Calibri" w:hAnsi="Calibri"/>
          <w:bCs/>
          <w:iCs/>
          <w:color w:val="7F7F7F" w:themeColor="text1" w:themeTint="80"/>
          <w:sz w:val="26"/>
          <w:szCs w:val="26"/>
        </w:rPr>
        <w:t xml:space="preserve">ones </w:t>
      </w:r>
      <w:r w:rsidRPr="00F9490B">
        <w:rPr>
          <w:rFonts w:ascii="Calibri" w:hAnsi="Calibri"/>
          <w:bCs/>
          <w:iCs/>
          <w:color w:val="7F7F7F" w:themeColor="text1" w:themeTint="80"/>
          <w:sz w:val="26"/>
          <w:szCs w:val="26"/>
        </w:rPr>
        <w:t>I</w:t>
      </w:r>
      <w:r w:rsidR="00EE4879">
        <w:rPr>
          <w:rFonts w:ascii="Calibri" w:hAnsi="Calibri"/>
          <w:bCs/>
          <w:iCs/>
          <w:color w:val="7F7F7F" w:themeColor="text1" w:themeTint="80"/>
          <w:sz w:val="26"/>
          <w:szCs w:val="26"/>
        </w:rPr>
        <w:t xml:space="preserve"> y VII, esta última concatenada con el artículo 251, </w:t>
      </w:r>
      <w:r w:rsidRPr="00F9490B">
        <w:rPr>
          <w:rFonts w:ascii="Calibri" w:hAnsi="Calibri"/>
          <w:bCs/>
          <w:iCs/>
          <w:color w:val="7F7F7F" w:themeColor="text1" w:themeTint="80"/>
          <w:sz w:val="26"/>
          <w:szCs w:val="26"/>
        </w:rPr>
        <w:t>del Código de Procedimiento y Justicia Administrativa antes citado; al referir</w:t>
      </w:r>
      <w:r w:rsidR="00EE4879">
        <w:rPr>
          <w:rFonts w:ascii="Calibri" w:hAnsi="Calibri"/>
          <w:bCs/>
          <w:iCs/>
          <w:color w:val="7F7F7F" w:themeColor="text1" w:themeTint="80"/>
          <w:sz w:val="26"/>
          <w:szCs w:val="26"/>
        </w:rPr>
        <w:t xml:space="preserve">, grosso modo, que </w:t>
      </w:r>
      <w:r w:rsidRPr="00F9490B">
        <w:rPr>
          <w:rFonts w:ascii="Calibri" w:hAnsi="Calibri"/>
          <w:bCs/>
          <w:iCs/>
          <w:color w:val="7F7F7F" w:themeColor="text1" w:themeTint="80"/>
          <w:sz w:val="26"/>
          <w:szCs w:val="26"/>
        </w:rPr>
        <w:t xml:space="preserve">no se afecta el interés jurídico de la impetrante, toda vez que no demuestra ser titular de un derecho subjetivo y que no le asiste ningún derecho que haya sido vulnerado . . . . . . </w:t>
      </w:r>
      <w:r>
        <w:rPr>
          <w:rFonts w:ascii="Calibri" w:hAnsi="Calibri"/>
          <w:bCs/>
          <w:iCs/>
          <w:color w:val="7F7F7F" w:themeColor="text1" w:themeTint="80"/>
          <w:sz w:val="26"/>
          <w:szCs w:val="26"/>
        </w:rPr>
        <w:t>. . . . . . . . . . . . . . . . . . .</w:t>
      </w:r>
      <w:r w:rsidR="00114938">
        <w:rPr>
          <w:rFonts w:ascii="Calibri" w:hAnsi="Calibri"/>
          <w:bCs/>
          <w:iCs/>
          <w:color w:val="7F7F7F" w:themeColor="text1" w:themeTint="80"/>
          <w:sz w:val="26"/>
          <w:szCs w:val="26"/>
        </w:rPr>
        <w:t xml:space="preserve"> </w:t>
      </w:r>
      <w:r w:rsidR="00E31BEB">
        <w:rPr>
          <w:rFonts w:ascii="Calibri" w:hAnsi="Calibri"/>
          <w:bCs/>
          <w:iCs/>
          <w:color w:val="7F7F7F" w:themeColor="text1" w:themeTint="80"/>
          <w:sz w:val="26"/>
          <w:szCs w:val="26"/>
        </w:rPr>
        <w:t xml:space="preserve">. . . . . . . . . </w:t>
      </w:r>
    </w:p>
    <w:p w:rsidR="00E83986" w:rsidRPr="00F9490B" w:rsidRDefault="00E83986" w:rsidP="00E83986">
      <w:pPr>
        <w:ind w:firstLine="708"/>
        <w:jc w:val="both"/>
        <w:rPr>
          <w:rFonts w:ascii="Calibri" w:hAnsi="Calibri"/>
          <w:bCs/>
          <w:iCs/>
          <w:color w:val="7F7F7F" w:themeColor="text1" w:themeTint="80"/>
          <w:sz w:val="26"/>
          <w:szCs w:val="26"/>
        </w:rPr>
      </w:pPr>
    </w:p>
    <w:p w:rsidR="00A02F6E" w:rsidRDefault="00E83986" w:rsidP="00E83986">
      <w:pPr>
        <w:ind w:firstLine="708"/>
        <w:jc w:val="both"/>
        <w:rPr>
          <w:rFonts w:ascii="Calibri" w:hAnsi="Calibri"/>
          <w:bCs/>
          <w:iCs/>
          <w:color w:val="7F7F7F" w:themeColor="text1" w:themeTint="80"/>
          <w:sz w:val="26"/>
          <w:szCs w:val="26"/>
        </w:rPr>
      </w:pPr>
      <w:r w:rsidRPr="00F9490B">
        <w:rPr>
          <w:rFonts w:ascii="Calibri" w:hAnsi="Calibri"/>
          <w:bCs/>
          <w:iCs/>
          <w:color w:val="7F7F7F" w:themeColor="text1" w:themeTint="80"/>
          <w:sz w:val="26"/>
          <w:szCs w:val="26"/>
        </w:rPr>
        <w:t xml:space="preserve">Causales de improcedencia que, para quien resuelve, </w:t>
      </w:r>
      <w:r w:rsidRPr="00F9490B">
        <w:rPr>
          <w:rFonts w:ascii="Calibri" w:hAnsi="Calibri"/>
          <w:b/>
          <w:bCs/>
          <w:iCs/>
          <w:color w:val="7F7F7F" w:themeColor="text1" w:themeTint="80"/>
          <w:sz w:val="26"/>
          <w:szCs w:val="26"/>
        </w:rPr>
        <w:t>no se actualizan</w:t>
      </w:r>
      <w:r w:rsidRPr="00F9490B">
        <w:rPr>
          <w:rFonts w:ascii="Calibri" w:hAnsi="Calibri"/>
          <w:bCs/>
          <w:iCs/>
          <w:color w:val="7F7F7F" w:themeColor="text1" w:themeTint="80"/>
          <w:sz w:val="26"/>
          <w:szCs w:val="26"/>
        </w:rPr>
        <w:t xml:space="preserve">; pues sí se afectan </w:t>
      </w:r>
      <w:r>
        <w:rPr>
          <w:rFonts w:ascii="Calibri" w:hAnsi="Calibri"/>
          <w:bCs/>
          <w:iCs/>
          <w:color w:val="7F7F7F" w:themeColor="text1" w:themeTint="80"/>
          <w:sz w:val="26"/>
          <w:szCs w:val="26"/>
        </w:rPr>
        <w:t>lo</w:t>
      </w:r>
      <w:r w:rsidRPr="00F9490B">
        <w:rPr>
          <w:rFonts w:ascii="Calibri" w:hAnsi="Calibri"/>
          <w:bCs/>
          <w:iCs/>
          <w:color w:val="7F7F7F" w:themeColor="text1" w:themeTint="80"/>
          <w:sz w:val="26"/>
          <w:szCs w:val="26"/>
        </w:rPr>
        <w:t>s intereses jurídicos</w:t>
      </w:r>
      <w:r>
        <w:rPr>
          <w:rFonts w:ascii="Calibri" w:hAnsi="Calibri"/>
          <w:bCs/>
          <w:iCs/>
          <w:color w:val="7F7F7F" w:themeColor="text1" w:themeTint="80"/>
          <w:sz w:val="26"/>
          <w:szCs w:val="26"/>
        </w:rPr>
        <w:t xml:space="preserve"> de la impetrante</w:t>
      </w:r>
      <w:r w:rsidRPr="00F9490B">
        <w:rPr>
          <w:rFonts w:ascii="Calibri" w:hAnsi="Calibri"/>
          <w:bCs/>
          <w:iCs/>
          <w:color w:val="7F7F7F" w:themeColor="text1" w:themeTint="80"/>
          <w:sz w:val="26"/>
          <w:szCs w:val="26"/>
        </w:rPr>
        <w:t>; toda vez que se instauró</w:t>
      </w:r>
      <w:r w:rsidR="00EE4879" w:rsidRPr="00EE4879">
        <w:rPr>
          <w:rFonts w:ascii="Calibri" w:hAnsi="Calibri"/>
          <w:bCs/>
          <w:iCs/>
          <w:color w:val="7F7F7F" w:themeColor="text1" w:themeTint="80"/>
          <w:sz w:val="26"/>
          <w:szCs w:val="26"/>
        </w:rPr>
        <w:t xml:space="preserve"> </w:t>
      </w:r>
      <w:r w:rsidR="00EE4879" w:rsidRPr="00F9490B">
        <w:rPr>
          <w:rFonts w:ascii="Calibri" w:hAnsi="Calibri"/>
          <w:bCs/>
          <w:iCs/>
          <w:color w:val="7F7F7F" w:themeColor="text1" w:themeTint="80"/>
          <w:sz w:val="26"/>
          <w:szCs w:val="26"/>
        </w:rPr>
        <w:t>en su contra</w:t>
      </w:r>
      <w:r w:rsidR="00EE4879">
        <w:rPr>
          <w:rFonts w:ascii="Calibri" w:hAnsi="Calibri"/>
          <w:bCs/>
          <w:iCs/>
          <w:color w:val="7F7F7F" w:themeColor="text1" w:themeTint="80"/>
          <w:sz w:val="26"/>
          <w:szCs w:val="26"/>
        </w:rPr>
        <w:t>,</w:t>
      </w:r>
      <w:r w:rsidRPr="00F9490B">
        <w:rPr>
          <w:rFonts w:ascii="Calibri" w:hAnsi="Calibri"/>
          <w:bCs/>
          <w:iCs/>
          <w:color w:val="7F7F7F" w:themeColor="text1" w:themeTint="80"/>
          <w:sz w:val="26"/>
          <w:szCs w:val="26"/>
        </w:rPr>
        <w:t xml:space="preserve"> </w:t>
      </w:r>
      <w:r w:rsidR="00EE4879" w:rsidRPr="00F9490B">
        <w:rPr>
          <w:rFonts w:ascii="Calibri" w:hAnsi="Calibri"/>
          <w:bCs/>
          <w:iCs/>
          <w:color w:val="7F7F7F" w:themeColor="text1" w:themeTint="80"/>
          <w:sz w:val="26"/>
          <w:szCs w:val="26"/>
        </w:rPr>
        <w:t>por la Dirección Gen</w:t>
      </w:r>
      <w:r w:rsidR="00EE4879">
        <w:rPr>
          <w:rFonts w:ascii="Calibri" w:hAnsi="Calibri"/>
          <w:bCs/>
          <w:iCs/>
          <w:color w:val="7F7F7F" w:themeColor="text1" w:themeTint="80"/>
          <w:sz w:val="26"/>
          <w:szCs w:val="26"/>
        </w:rPr>
        <w:t xml:space="preserve">eral de Fiscalización y Control, </w:t>
      </w:r>
      <w:r w:rsidRPr="00F9490B">
        <w:rPr>
          <w:rFonts w:ascii="Calibri" w:hAnsi="Calibri"/>
          <w:bCs/>
          <w:iCs/>
          <w:color w:val="7F7F7F" w:themeColor="text1" w:themeTint="80"/>
          <w:sz w:val="26"/>
          <w:szCs w:val="26"/>
        </w:rPr>
        <w:t xml:space="preserve">el procedimiento administrativo </w:t>
      </w:r>
      <w:r w:rsidR="008560BC">
        <w:rPr>
          <w:rFonts w:ascii="Calibri" w:hAnsi="Calibri"/>
          <w:bCs/>
          <w:iCs/>
          <w:color w:val="7F7F7F" w:themeColor="text1" w:themeTint="80"/>
          <w:sz w:val="26"/>
          <w:szCs w:val="26"/>
        </w:rPr>
        <w:t xml:space="preserve">con </w:t>
      </w:r>
      <w:r w:rsidRPr="00F9490B">
        <w:rPr>
          <w:rFonts w:ascii="Calibri" w:hAnsi="Calibri"/>
          <w:bCs/>
          <w:iCs/>
          <w:color w:val="7F7F7F" w:themeColor="text1" w:themeTint="80"/>
          <w:sz w:val="26"/>
          <w:szCs w:val="26"/>
        </w:rPr>
        <w:t xml:space="preserve">número </w:t>
      </w:r>
      <w:r w:rsidR="002919BC">
        <w:rPr>
          <w:rFonts w:ascii="Calibri" w:hAnsi="Calibri"/>
          <w:bCs/>
          <w:iCs/>
          <w:color w:val="7F7F7F" w:themeColor="text1" w:themeTint="80"/>
          <w:sz w:val="26"/>
          <w:szCs w:val="26"/>
        </w:rPr>
        <w:t>DGFC/DT/0261/2015/JA</w:t>
      </w:r>
      <w:r w:rsidRPr="00F9490B">
        <w:rPr>
          <w:rFonts w:ascii="Calibri" w:hAnsi="Calibri"/>
          <w:bCs/>
          <w:iCs/>
          <w:color w:val="7F7F7F" w:themeColor="text1" w:themeTint="80"/>
          <w:sz w:val="26"/>
          <w:szCs w:val="26"/>
        </w:rPr>
        <w:t xml:space="preserve">, </w:t>
      </w:r>
      <w:r w:rsidR="00A02F6E" w:rsidRPr="00A02F6E">
        <w:rPr>
          <w:rFonts w:ascii="Calibri" w:hAnsi="Calibri"/>
          <w:bCs/>
          <w:iCs/>
          <w:color w:val="7F7F7F" w:themeColor="text1" w:themeTint="80"/>
          <w:sz w:val="26"/>
          <w:szCs w:val="26"/>
        </w:rPr>
        <w:t xml:space="preserve">mismo en el que eventualmente, podría imponérsele alguna sanción, además de que se clausuró una máquina de juegos de azar que se encontraba al interior del establecimiento visitado, lo que sí afecta la esfera de derechos </w:t>
      </w:r>
      <w:r w:rsidR="00A02F6E">
        <w:rPr>
          <w:rFonts w:ascii="Calibri" w:hAnsi="Calibri"/>
          <w:bCs/>
          <w:iCs/>
          <w:color w:val="7F7F7F" w:themeColor="text1" w:themeTint="80"/>
          <w:sz w:val="26"/>
          <w:szCs w:val="26"/>
        </w:rPr>
        <w:t>de la actora</w:t>
      </w:r>
      <w:r w:rsidR="00A02F6E" w:rsidRPr="00A02F6E">
        <w:rPr>
          <w:rFonts w:ascii="Calibri" w:hAnsi="Calibri"/>
          <w:bCs/>
          <w:iCs/>
          <w:color w:val="7F7F7F" w:themeColor="text1" w:themeTint="80"/>
          <w:sz w:val="26"/>
          <w:szCs w:val="26"/>
        </w:rPr>
        <w:t xml:space="preserve">, sobre todo porque </w:t>
      </w:r>
      <w:r w:rsidR="00D4766E">
        <w:rPr>
          <w:rFonts w:ascii="Calibri" w:hAnsi="Calibri"/>
          <w:bCs/>
          <w:iCs/>
          <w:color w:val="7F7F7F" w:themeColor="text1" w:themeTint="80"/>
          <w:sz w:val="26"/>
          <w:szCs w:val="26"/>
        </w:rPr>
        <w:t xml:space="preserve">se </w:t>
      </w:r>
      <w:r w:rsidR="00A02F6E" w:rsidRPr="00A02F6E">
        <w:rPr>
          <w:rFonts w:ascii="Calibri" w:hAnsi="Calibri"/>
          <w:bCs/>
          <w:iCs/>
          <w:color w:val="7F7F7F" w:themeColor="text1" w:themeTint="80"/>
          <w:sz w:val="26"/>
          <w:szCs w:val="26"/>
        </w:rPr>
        <w:t>considera que se viola su derecho humano al debido proceso; por lo que al no</w:t>
      </w:r>
      <w:r w:rsidR="00A02F6E" w:rsidRPr="00D90447">
        <w:rPr>
          <w:rFonts w:ascii="Calibri" w:hAnsi="Calibri"/>
          <w:bCs/>
          <w:iCs/>
          <w:color w:val="000000" w:themeColor="text1"/>
          <w:sz w:val="26"/>
          <w:szCs w:val="26"/>
        </w:rPr>
        <w:t xml:space="preserve"> </w:t>
      </w:r>
      <w:r w:rsidR="00A02F6E" w:rsidRPr="00A02F6E">
        <w:rPr>
          <w:rFonts w:ascii="Calibri" w:hAnsi="Calibri"/>
          <w:bCs/>
          <w:iCs/>
          <w:color w:val="7F7F7F" w:themeColor="text1" w:themeTint="80"/>
          <w:sz w:val="26"/>
          <w:szCs w:val="26"/>
        </w:rPr>
        <w:t>prosperar las causales de improcedencia señaladas, ést</w:t>
      </w:r>
      <w:r w:rsidR="00A02F6E">
        <w:rPr>
          <w:rFonts w:ascii="Calibri" w:hAnsi="Calibri"/>
          <w:bCs/>
          <w:iCs/>
          <w:color w:val="7F7F7F" w:themeColor="text1" w:themeTint="80"/>
          <w:sz w:val="26"/>
          <w:szCs w:val="26"/>
        </w:rPr>
        <w:t>a</w:t>
      </w:r>
      <w:r w:rsidR="00A02F6E" w:rsidRPr="00A02F6E">
        <w:rPr>
          <w:rFonts w:ascii="Calibri" w:hAnsi="Calibri"/>
          <w:bCs/>
          <w:iCs/>
          <w:color w:val="7F7F7F" w:themeColor="text1" w:themeTint="80"/>
          <w:sz w:val="26"/>
          <w:szCs w:val="26"/>
        </w:rPr>
        <w:t xml:space="preserve"> sí se encuentra legitimad</w:t>
      </w:r>
      <w:r w:rsidR="00A02F6E">
        <w:rPr>
          <w:rFonts w:ascii="Calibri" w:hAnsi="Calibri"/>
          <w:bCs/>
          <w:iCs/>
          <w:color w:val="7F7F7F" w:themeColor="text1" w:themeTint="80"/>
          <w:sz w:val="26"/>
          <w:szCs w:val="26"/>
        </w:rPr>
        <w:t>a</w:t>
      </w:r>
      <w:r w:rsidR="00A02F6E" w:rsidRPr="00A02F6E">
        <w:rPr>
          <w:rFonts w:ascii="Calibri" w:hAnsi="Calibri"/>
          <w:bCs/>
          <w:iCs/>
          <w:color w:val="7F7F7F" w:themeColor="text1" w:themeTint="80"/>
          <w:sz w:val="26"/>
          <w:szCs w:val="26"/>
        </w:rPr>
        <w:t xml:space="preserve"> para promover el proceso que nos ocupa</w:t>
      </w:r>
      <w:r w:rsidR="008560BC">
        <w:rPr>
          <w:rFonts w:ascii="Calibri" w:hAnsi="Calibri"/>
          <w:bCs/>
          <w:iCs/>
          <w:color w:val="7F7F7F" w:themeColor="text1" w:themeTint="80"/>
          <w:sz w:val="26"/>
          <w:szCs w:val="26"/>
        </w:rPr>
        <w:t xml:space="preserve">. . . . . . . . </w:t>
      </w:r>
    </w:p>
    <w:p w:rsidR="00E83986" w:rsidRPr="00F9490B" w:rsidRDefault="00E83986" w:rsidP="00A02F6E">
      <w:pPr>
        <w:jc w:val="both"/>
        <w:rPr>
          <w:rFonts w:ascii="Calibri" w:hAnsi="Calibri"/>
          <w:bCs/>
          <w:iCs/>
          <w:color w:val="7F7F7F" w:themeColor="text1" w:themeTint="80"/>
          <w:sz w:val="26"/>
          <w:szCs w:val="26"/>
        </w:rPr>
      </w:pPr>
    </w:p>
    <w:p w:rsidR="00E83986" w:rsidRPr="00F9490B" w:rsidRDefault="00E83986" w:rsidP="00E83986">
      <w:pPr>
        <w:ind w:firstLine="708"/>
        <w:jc w:val="both"/>
        <w:rPr>
          <w:rFonts w:ascii="Calibri" w:hAnsi="Calibri"/>
          <w:bCs/>
          <w:iCs/>
          <w:color w:val="7F7F7F" w:themeColor="text1" w:themeTint="80"/>
          <w:sz w:val="26"/>
          <w:szCs w:val="26"/>
        </w:rPr>
      </w:pPr>
      <w:r w:rsidRPr="00F9490B">
        <w:rPr>
          <w:rFonts w:ascii="Calibri" w:hAnsi="Calibri"/>
          <w:bCs/>
          <w:iCs/>
          <w:color w:val="7F7F7F" w:themeColor="text1" w:themeTint="80"/>
          <w:sz w:val="26"/>
          <w:szCs w:val="26"/>
        </w:rPr>
        <w:t xml:space="preserve">Por otra parte, este Juzgador, </w:t>
      </w:r>
      <w:r w:rsidRPr="00F9490B">
        <w:rPr>
          <w:rFonts w:ascii="Calibri" w:hAnsi="Calibri"/>
          <w:b/>
          <w:bCs/>
          <w:iCs/>
          <w:color w:val="7F7F7F" w:themeColor="text1" w:themeTint="80"/>
          <w:sz w:val="26"/>
          <w:szCs w:val="26"/>
        </w:rPr>
        <w:t>de oficio</w:t>
      </w:r>
      <w:r w:rsidRPr="00F9490B">
        <w:rPr>
          <w:rFonts w:ascii="Calibri" w:hAnsi="Calibri"/>
          <w:bCs/>
          <w:iCs/>
          <w:color w:val="7F7F7F" w:themeColor="text1" w:themeTint="80"/>
          <w:sz w:val="26"/>
          <w:szCs w:val="26"/>
        </w:rPr>
        <w:t xml:space="preserve">, no advierte la actualización de alguna causal de improcedencia o sobreseimiento que impida el estudio de fondo de la presente causa administrativa, respecto de los actos impugnados consistentes en la orden de visita de inspección, el acta de visita de inspección, </w:t>
      </w:r>
      <w:r w:rsidR="00A02F6E">
        <w:rPr>
          <w:rFonts w:ascii="Calibri" w:hAnsi="Calibri"/>
          <w:bCs/>
          <w:iCs/>
          <w:color w:val="7F7F7F" w:themeColor="text1" w:themeTint="80"/>
          <w:sz w:val="26"/>
          <w:szCs w:val="26"/>
        </w:rPr>
        <w:t>la orden de clausura y acta circunstanciada de fijación de sellos</w:t>
      </w:r>
      <w:r w:rsidRPr="00F9490B">
        <w:rPr>
          <w:rFonts w:ascii="Calibri" w:hAnsi="Calibri"/>
          <w:bCs/>
          <w:iCs/>
          <w:color w:val="7F7F7F" w:themeColor="text1" w:themeTint="80"/>
          <w:sz w:val="26"/>
          <w:szCs w:val="26"/>
        </w:rPr>
        <w:t>; por lo que en consecuencia es procedente el presente proceso respecto de esos actos administrativos. . . . . . . .</w:t>
      </w:r>
      <w:r>
        <w:rPr>
          <w:rFonts w:ascii="Calibri" w:hAnsi="Calibri"/>
          <w:bCs/>
          <w:iCs/>
          <w:color w:val="7F7F7F" w:themeColor="text1" w:themeTint="80"/>
          <w:sz w:val="26"/>
          <w:szCs w:val="26"/>
        </w:rPr>
        <w:t xml:space="preserve"> . . . . . . . . . . . . . . . . . . . . . . . . . . . . </w:t>
      </w:r>
      <w:r w:rsidR="0064042F">
        <w:rPr>
          <w:rFonts w:ascii="Calibri" w:hAnsi="Calibri"/>
          <w:bCs/>
          <w:iCs/>
          <w:color w:val="7F7F7F" w:themeColor="text1" w:themeTint="80"/>
          <w:sz w:val="26"/>
          <w:szCs w:val="26"/>
        </w:rPr>
        <w:t xml:space="preserve">.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6D41F4">
        <w:rPr>
          <w:rFonts w:ascii="Calibri" w:hAnsi="Calibri"/>
          <w:color w:val="7F7F7F" w:themeColor="text1" w:themeTint="80"/>
          <w:sz w:val="26"/>
          <w:szCs w:val="26"/>
        </w:rPr>
        <w:t>12 doce de mayo</w:t>
      </w:r>
      <w:r w:rsidRPr="00BF5CA7">
        <w:rPr>
          <w:rFonts w:ascii="Calibri" w:hAnsi="Calibri"/>
          <w:color w:val="7F7F7F" w:themeColor="text1" w:themeTint="80"/>
          <w:sz w:val="26"/>
          <w:szCs w:val="26"/>
        </w:rPr>
        <w:t xml:space="preserve"> del año 2015 dos mil quince, dentro del expediente número </w:t>
      </w:r>
      <w:r w:rsidR="002919BC">
        <w:rPr>
          <w:rFonts w:ascii="Calibri" w:hAnsi="Calibri"/>
          <w:color w:val="7F7F7F" w:themeColor="text1" w:themeTint="80"/>
          <w:sz w:val="26"/>
          <w:szCs w:val="26"/>
        </w:rPr>
        <w:t>DGFC/DT/0261/2015/JA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6D41F4">
        <w:rPr>
          <w:rFonts w:ascii="Calibri" w:hAnsi="Calibri"/>
          <w:color w:val="7F7F7F" w:themeColor="text1" w:themeTint="80"/>
          <w:sz w:val="26"/>
          <w:szCs w:val="26"/>
        </w:rPr>
        <w:t>José Alfredo García Alcalá</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w:t>
      </w:r>
      <w:r w:rsidRPr="00BF5CA7">
        <w:rPr>
          <w:rFonts w:ascii="Calibri" w:hAnsi="Calibri"/>
          <w:color w:val="7F7F7F" w:themeColor="text1" w:themeTint="80"/>
          <w:sz w:val="26"/>
          <w:szCs w:val="26"/>
        </w:rPr>
        <w:lastRenderedPageBreak/>
        <w:t xml:space="preserve">Municipio de León, Guanajuato, en vigor; en el establecimiento ubicado en el domicilio marcado con el número </w:t>
      </w:r>
      <w:r w:rsidR="00D4766E">
        <w:rPr>
          <w:rFonts w:ascii="Calibri" w:hAnsi="Calibri"/>
          <w:color w:val="7F7F7F" w:themeColor="text1" w:themeTint="80"/>
          <w:sz w:val="26"/>
          <w:szCs w:val="26"/>
        </w:rPr>
        <w:t>404 cuatrocientos cuatro</w:t>
      </w:r>
      <w:r w:rsidRPr="00BF5CA7">
        <w:rPr>
          <w:rFonts w:ascii="Calibri" w:hAnsi="Calibri"/>
          <w:color w:val="7F7F7F" w:themeColor="text1" w:themeTint="80"/>
          <w:sz w:val="26"/>
          <w:szCs w:val="26"/>
        </w:rPr>
        <w:t xml:space="preserve">, de la calle </w:t>
      </w:r>
      <w:r w:rsidR="00D4766E">
        <w:rPr>
          <w:rFonts w:ascii="Calibri" w:hAnsi="Calibri"/>
          <w:color w:val="7F7F7F" w:themeColor="text1" w:themeTint="80"/>
          <w:sz w:val="26"/>
          <w:szCs w:val="26"/>
        </w:rPr>
        <w:t>Galena</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de la </w:t>
      </w:r>
      <w:r w:rsidRPr="00BF5CA7">
        <w:rPr>
          <w:rFonts w:ascii="Calibri" w:hAnsi="Calibri"/>
          <w:color w:val="7F7F7F" w:themeColor="text1" w:themeTint="80"/>
          <w:sz w:val="26"/>
          <w:szCs w:val="26"/>
        </w:rPr>
        <w:t xml:space="preserve">colonia </w:t>
      </w:r>
      <w:r w:rsidR="00AE1A6F">
        <w:rPr>
          <w:rFonts w:ascii="Calibri" w:hAnsi="Calibri"/>
          <w:color w:val="7F7F7F" w:themeColor="text1" w:themeTint="80"/>
          <w:sz w:val="26"/>
          <w:szCs w:val="26"/>
        </w:rPr>
        <w:t xml:space="preserve">o comunidad </w:t>
      </w:r>
      <w:r w:rsidR="00D4766E">
        <w:rPr>
          <w:rFonts w:ascii="Calibri" w:hAnsi="Calibri"/>
          <w:color w:val="7F7F7F" w:themeColor="text1" w:themeTint="80"/>
          <w:sz w:val="26"/>
          <w:szCs w:val="26"/>
        </w:rPr>
        <w:t>Villas de San Juan</w:t>
      </w:r>
      <w:r w:rsidRPr="00BF5CA7">
        <w:rPr>
          <w:rFonts w:ascii="Calibri" w:hAnsi="Calibri"/>
          <w:color w:val="7F7F7F" w:themeColor="text1" w:themeTint="80"/>
          <w:sz w:val="26"/>
          <w:szCs w:val="26"/>
        </w:rPr>
        <w:t xml:space="preserve"> de </w:t>
      </w:r>
      <w:r w:rsidR="00AE1A6F">
        <w:rPr>
          <w:rFonts w:ascii="Calibri" w:hAnsi="Calibri"/>
          <w:color w:val="7F7F7F" w:themeColor="text1" w:themeTint="80"/>
          <w:sz w:val="26"/>
          <w:szCs w:val="26"/>
        </w:rPr>
        <w:t>este municipio</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propietaria del </w:t>
      </w:r>
      <w:r w:rsidR="00CF084B">
        <w:rPr>
          <w:rFonts w:ascii="Calibri" w:hAnsi="Calibri"/>
          <w:color w:val="7F7F7F" w:themeColor="text1" w:themeTint="80"/>
          <w:sz w:val="26"/>
          <w:szCs w:val="26"/>
        </w:rPr>
        <w:t xml:space="preserve">lugar, </w:t>
      </w:r>
      <w:r w:rsidRPr="00BF5CA7">
        <w:rPr>
          <w:rFonts w:ascii="Calibri" w:hAnsi="Calibri"/>
          <w:color w:val="7F7F7F" w:themeColor="text1" w:themeTint="80"/>
          <w:sz w:val="26"/>
          <w:szCs w:val="26"/>
        </w:rPr>
        <w:t>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ciudadan</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w:t>
      </w:r>
      <w:r w:rsidR="00CF084B">
        <w:rPr>
          <w:rFonts w:ascii="Calibri" w:hAnsi="Calibri"/>
          <w:color w:val="7F7F7F" w:themeColor="text1" w:themeTint="80"/>
          <w:sz w:val="26"/>
          <w:szCs w:val="26"/>
        </w:rPr>
        <w:t xml:space="preserve">usurarla.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CF084B"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6D41F4">
        <w:rPr>
          <w:rFonts w:ascii="Calibri" w:hAnsi="Calibri"/>
          <w:color w:val="7F7F7F" w:themeColor="text1" w:themeTint="80"/>
          <w:sz w:val="26"/>
          <w:szCs w:val="26"/>
        </w:rPr>
        <w:t>12 doce de mayo</w:t>
      </w:r>
      <w:r w:rsidRPr="00BF5CA7">
        <w:rPr>
          <w:rFonts w:ascii="Calibri" w:hAnsi="Calibri"/>
          <w:color w:val="7F7F7F" w:themeColor="text1" w:themeTint="80"/>
          <w:sz w:val="26"/>
          <w:szCs w:val="26"/>
        </w:rPr>
        <w:t xml:space="preserve"> del año 2015 dos mil quince, emitida dentro del expediente con número </w:t>
      </w:r>
    </w:p>
    <w:p w:rsidR="00CF084B" w:rsidRDefault="00CF084B" w:rsidP="00CF084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480/2015-JN</w:t>
      </w:r>
    </w:p>
    <w:p w:rsidR="00CF084B" w:rsidRDefault="00CF084B" w:rsidP="004B3DFC">
      <w:pPr>
        <w:ind w:firstLine="708"/>
        <w:jc w:val="both"/>
        <w:rPr>
          <w:rFonts w:ascii="Calibri" w:hAnsi="Calibri"/>
          <w:color w:val="7F7F7F" w:themeColor="text1" w:themeTint="80"/>
          <w:sz w:val="26"/>
          <w:szCs w:val="26"/>
        </w:rPr>
      </w:pPr>
    </w:p>
    <w:p w:rsidR="004B3DFC" w:rsidRPr="00BF5CA7" w:rsidRDefault="002919BC" w:rsidP="00CF084B">
      <w:pPr>
        <w:jc w:val="both"/>
        <w:rPr>
          <w:rFonts w:ascii="Calibri" w:hAnsi="Calibri"/>
          <w:color w:val="7F7F7F" w:themeColor="text1" w:themeTint="80"/>
          <w:sz w:val="26"/>
          <w:szCs w:val="26"/>
        </w:rPr>
      </w:pPr>
      <w:r>
        <w:rPr>
          <w:rFonts w:ascii="Calibri" w:hAnsi="Calibri"/>
          <w:color w:val="7F7F7F" w:themeColor="text1" w:themeTint="80"/>
          <w:sz w:val="26"/>
          <w:szCs w:val="26"/>
        </w:rPr>
        <w:t>DGFC/DT/0261/2015/JA</w:t>
      </w:r>
      <w:r w:rsidR="004B3DFC"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004B3DFC"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004B3DFC"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CF084B">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D6DEA">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FA5D2E">
        <w:rPr>
          <w:rFonts w:ascii="Calibri" w:hAnsi="Calibri"/>
          <w:color w:val="7F7F7F" w:themeColor="text1" w:themeTint="80"/>
          <w:sz w:val="26"/>
          <w:szCs w:val="26"/>
        </w:rPr>
        <w:t xml:space="preserve">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FA5D2E">
        <w:rPr>
          <w:rFonts w:ascii="Calibri" w:hAnsi="Calibri"/>
          <w:i/>
          <w:iCs/>
          <w:color w:val="7F7F7F" w:themeColor="text1" w:themeTint="80"/>
          <w:sz w:val="26"/>
          <w:szCs w:val="26"/>
        </w:rPr>
        <w:t xml:space="preserve"> </w:t>
      </w:r>
      <w:r w:rsidR="00CF7B38">
        <w:rPr>
          <w:rFonts w:ascii="Calibri" w:hAnsi="Calibri"/>
          <w:i/>
          <w:iCs/>
          <w:color w:val="7F7F7F" w:themeColor="text1" w:themeTint="80"/>
          <w:sz w:val="26"/>
          <w:szCs w:val="26"/>
        </w:rPr>
        <w:t xml:space="preserve"> </w:t>
      </w:r>
    </w:p>
    <w:p w:rsidR="00E959B2" w:rsidRPr="00FA5D2E"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8C6950">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8C6950">
        <w:rPr>
          <w:rFonts w:ascii="Calibri" w:hAnsi="Calibri" w:cs="Calibri"/>
          <w:bCs/>
          <w:iCs/>
          <w:color w:val="7F7F7F" w:themeColor="text1" w:themeTint="80"/>
          <w:sz w:val="26"/>
          <w:szCs w:val="26"/>
        </w:rPr>
        <w:t>tal orden</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 xml:space="preserve">orteos. Luego entonces, expedir una orden de visita </w:t>
      </w:r>
      <w:r w:rsidR="00D47B32">
        <w:rPr>
          <w:rFonts w:asciiTheme="minorHAnsi" w:hAnsiTheme="minorHAnsi"/>
          <w:color w:val="7F7F7F" w:themeColor="text1" w:themeTint="80"/>
          <w:sz w:val="26"/>
          <w:szCs w:val="26"/>
        </w:rPr>
        <w:t>de inspección genérica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02637B">
        <w:rPr>
          <w:rFonts w:asciiTheme="minorHAnsi" w:hAnsiTheme="minorHAnsi"/>
          <w:color w:val="7F7F7F" w:themeColor="text1" w:themeTint="80"/>
          <w:sz w:val="26"/>
          <w:szCs w:val="26"/>
        </w:rPr>
        <w:t xml:space="preserve">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w:t>
      </w:r>
      <w:r w:rsidR="00992C9C">
        <w:rPr>
          <w:rFonts w:asciiTheme="minorHAnsi" w:hAnsiTheme="minorHAnsi"/>
          <w:color w:val="7F7F7F" w:themeColor="text1" w:themeTint="80"/>
          <w:sz w:val="26"/>
          <w:szCs w:val="26"/>
        </w:rPr>
        <w:lastRenderedPageBreak/>
        <w:t xml:space="preserve">entiende en virtud de la colaboración solicitada por dicha dependencia, y no por iniciativa propia; como ocurre en el caso en concreto. . . . . . . . . . . . . . . . </w:t>
      </w:r>
      <w:r w:rsidR="0002637B">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02637B" w:rsidRDefault="00706056" w:rsidP="00A8545F">
      <w:pPr>
        <w:pStyle w:val="Default"/>
        <w:ind w:firstLine="708"/>
        <w:jc w:val="both"/>
        <w:rPr>
          <w:rFonts w:asciiTheme="minorHAnsi" w:hAnsiTheme="minorHAnsi"/>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w:t>
      </w:r>
    </w:p>
    <w:p w:rsidR="0002637B" w:rsidRDefault="0002637B" w:rsidP="0002637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480/2015-JN</w:t>
      </w:r>
    </w:p>
    <w:p w:rsidR="0002637B" w:rsidRDefault="0002637B" w:rsidP="00A8545F">
      <w:pPr>
        <w:pStyle w:val="Default"/>
        <w:ind w:firstLine="708"/>
        <w:jc w:val="both"/>
        <w:rPr>
          <w:rFonts w:asciiTheme="minorHAnsi" w:hAnsiTheme="minorHAnsi"/>
          <w:color w:val="767171" w:themeColor="background2" w:themeShade="80"/>
          <w:sz w:val="26"/>
          <w:szCs w:val="26"/>
        </w:rPr>
      </w:pPr>
    </w:p>
    <w:p w:rsidR="00343E70" w:rsidRPr="00A8545F" w:rsidRDefault="00A8545F" w:rsidP="0002637B">
      <w:pPr>
        <w:pStyle w:val="Default"/>
        <w:jc w:val="both"/>
        <w:rPr>
          <w:rFonts w:asciiTheme="minorHAnsi" w:hAnsiTheme="minorHAnsi"/>
          <w:color w:val="FF0000"/>
          <w:sz w:val="26"/>
          <w:szCs w:val="26"/>
        </w:rPr>
      </w:pPr>
      <w:proofErr w:type="gramStart"/>
      <w:r w:rsidRPr="00833B37">
        <w:rPr>
          <w:rFonts w:asciiTheme="minorHAnsi" w:hAnsiTheme="minorHAnsi"/>
          <w:color w:val="767171" w:themeColor="background2" w:themeShade="80"/>
          <w:sz w:val="26"/>
          <w:szCs w:val="26"/>
        </w:rPr>
        <w:t>específicas</w:t>
      </w:r>
      <w:proofErr w:type="gramEnd"/>
      <w:r w:rsidRPr="00833B37">
        <w:rPr>
          <w:rFonts w:asciiTheme="minorHAnsi" w:hAnsiTheme="minorHAnsi"/>
          <w:color w:val="767171" w:themeColor="background2" w:themeShade="80"/>
          <w:sz w:val="26"/>
          <w:szCs w:val="26"/>
        </w:rPr>
        <w:t xml:space="preserve"> de visitas de inspección, en materia de </w:t>
      </w:r>
      <w:r w:rsidRPr="00833B37">
        <w:rPr>
          <w:rFonts w:asciiTheme="minorHAnsi" w:hAnsiTheme="minorHAnsi"/>
          <w:i/>
          <w:color w:val="767171" w:themeColor="background2" w:themeShade="80"/>
          <w:sz w:val="26"/>
          <w:szCs w:val="26"/>
        </w:rPr>
        <w:t>“juegos de azar o con cruce de apuesta”,</w:t>
      </w:r>
      <w:r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 xml:space="preserve">o que sin lugar a dudas, se </w:t>
      </w:r>
      <w:r w:rsidRPr="00521436">
        <w:rPr>
          <w:rFonts w:ascii="Calibri" w:hAnsi="Calibri" w:cs="Calibri"/>
          <w:bCs/>
          <w:iCs/>
          <w:color w:val="7F7F7F" w:themeColor="text1" w:themeTint="80"/>
          <w:sz w:val="26"/>
          <w:szCs w:val="26"/>
        </w:rPr>
        <w:lastRenderedPageBreak/>
        <w:t>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Director General de Fiscalización y control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un</w:t>
      </w:r>
      <w:r w:rsidR="001331BF">
        <w:rPr>
          <w:rFonts w:ascii="Calibri" w:hAnsi="Calibri" w:cs="Calibri"/>
          <w:b w:val="0"/>
          <w:bCs w:val="0"/>
          <w:iCs/>
          <w:color w:val="7F7F7F" w:themeColor="text1" w:themeTint="80"/>
          <w:sz w:val="26"/>
          <w:szCs w:val="26"/>
          <w:lang w:val="es-MX"/>
        </w:rPr>
        <w:t>a</w:t>
      </w:r>
      <w:r w:rsidR="00562A66">
        <w:rPr>
          <w:rFonts w:ascii="Calibri" w:hAnsi="Calibri" w:cs="Calibri"/>
          <w:b w:val="0"/>
          <w:bCs w:val="0"/>
          <w:iCs/>
          <w:color w:val="7F7F7F" w:themeColor="text1" w:themeTint="80"/>
          <w:sz w:val="26"/>
          <w:szCs w:val="26"/>
          <w:lang w:val="es-MX"/>
        </w:rPr>
        <w:t xml:space="preserve"> </w:t>
      </w:r>
      <w:r w:rsidR="001331BF">
        <w:rPr>
          <w:rFonts w:ascii="Calibri" w:hAnsi="Calibri" w:cs="Calibri"/>
          <w:b w:val="0"/>
          <w:bCs w:val="0"/>
          <w:iCs/>
          <w:color w:val="7F7F7F" w:themeColor="text1" w:themeTint="80"/>
          <w:sz w:val="26"/>
          <w:szCs w:val="26"/>
          <w:lang w:val="es-MX"/>
        </w:rPr>
        <w:t>casa habitación</w:t>
      </w:r>
      <w:r w:rsidR="0002637B">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en la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02637B">
        <w:rPr>
          <w:rFonts w:ascii="Calibri" w:hAnsi="Calibri" w:cs="Calibri"/>
          <w:b w:val="0"/>
          <w:bCs w:val="0"/>
          <w:iCs/>
          <w:color w:val="7F7F7F" w:themeColor="text1" w:themeTint="80"/>
          <w:sz w:val="26"/>
          <w:szCs w:val="26"/>
          <w:lang w:val="es-MX"/>
        </w:rPr>
        <w:t xml:space="preserve">.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1331BF" w:rsidRDefault="003D0B6B" w:rsidP="009661F2">
      <w:pPr>
        <w:pStyle w:val="CABEZAS"/>
        <w:tabs>
          <w:tab w:val="left" w:pos="1134"/>
        </w:tabs>
        <w:jc w:val="both"/>
        <w:rPr>
          <w:rFonts w:ascii="Calibri" w:hAnsi="Calibri" w:cs="Calibri"/>
          <w:b w:val="0"/>
          <w:bCs w:val="0"/>
          <w:iCs/>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r>
    </w:p>
    <w:p w:rsidR="009661F2" w:rsidRPr="009661F2" w:rsidRDefault="001331BF"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ab/>
      </w:r>
      <w:r w:rsidR="003D0B6B" w:rsidRPr="009661F2">
        <w:rPr>
          <w:rFonts w:ascii="Calibri" w:hAnsi="Calibri" w:cs="Calibri"/>
          <w:b w:val="0"/>
          <w:bCs w:val="0"/>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w:t>
      </w:r>
      <w:r w:rsidR="009661F2" w:rsidRPr="009661F2">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decretar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6D41F4">
        <w:rPr>
          <w:rFonts w:ascii="Calibri" w:hAnsi="Calibri"/>
          <w:b/>
          <w:color w:val="7F7F7F" w:themeColor="text1" w:themeTint="80"/>
          <w:sz w:val="26"/>
          <w:szCs w:val="26"/>
        </w:rPr>
        <w:t xml:space="preserve">12 </w:t>
      </w:r>
      <w:r w:rsidR="006D41F4" w:rsidRPr="00562F72">
        <w:rPr>
          <w:rFonts w:ascii="Calibri" w:hAnsi="Calibri"/>
          <w:color w:val="7F7F7F" w:themeColor="text1" w:themeTint="80"/>
          <w:sz w:val="26"/>
          <w:szCs w:val="26"/>
        </w:rPr>
        <w:t>doce de</w:t>
      </w:r>
      <w:r w:rsidR="006D41F4">
        <w:rPr>
          <w:rFonts w:ascii="Calibri" w:hAnsi="Calibri"/>
          <w:b/>
          <w:color w:val="7F7F7F" w:themeColor="text1" w:themeTint="80"/>
          <w:sz w:val="26"/>
          <w:szCs w:val="26"/>
        </w:rPr>
        <w:t xml:space="preserve"> 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DGFC/DT/0</w:t>
      </w:r>
      <w:r w:rsidR="00562F72">
        <w:rPr>
          <w:rFonts w:ascii="Calibri" w:hAnsi="Calibri"/>
          <w:b/>
          <w:color w:val="7F7F7F" w:themeColor="text1" w:themeTint="80"/>
          <w:sz w:val="26"/>
          <w:szCs w:val="26"/>
        </w:rPr>
        <w:t>261</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4618FE">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 xml:space="preserve">acta circunstanciada de fijación de sellos </w:t>
      </w:r>
      <w:r w:rsidR="00F54858" w:rsidRPr="00F54858">
        <w:rPr>
          <w:rFonts w:ascii="Calibri" w:hAnsi="Calibri"/>
          <w:b/>
          <w:bCs/>
          <w:color w:val="7F7F7F" w:themeColor="text1" w:themeTint="80"/>
          <w:sz w:val="26"/>
          <w:szCs w:val="26"/>
        </w:rPr>
        <w:lastRenderedPageBreak/>
        <w:t>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1331BF">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6F525E">
        <w:rPr>
          <w:rFonts w:ascii="Calibri" w:hAnsi="Calibri"/>
          <w:b/>
          <w:i/>
          <w:iCs/>
          <w:color w:val="7F7F7F" w:themeColor="text1" w:themeTint="80"/>
          <w:lang w:val="es-MX" w:eastAsia="es-MX"/>
        </w:rPr>
        <w:t xml:space="preserve">“ORDEN DE VISITA. LA ILEGALIDAD DE LA MISMA PRODUCE LA NULIDAD LISA Y LLANA DE LA RESOLUCIÓN IMPUGNADA. </w:t>
      </w:r>
      <w:r w:rsidRPr="006F525E">
        <w:rPr>
          <w:rFonts w:ascii="Calibri" w:hAnsi="Calibri"/>
          <w:i/>
          <w:iCs/>
          <w:color w:val="7F7F7F" w:themeColor="text1" w:themeTint="80"/>
          <w:lang w:val="es-MX" w:eastAsia="es-MX"/>
        </w:rPr>
        <w:t>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w:t>
      </w:r>
      <w:r w:rsidRPr="00BF5CA7">
        <w:rPr>
          <w:rFonts w:ascii="Calibri" w:hAnsi="Calibri"/>
          <w:i/>
          <w:iCs/>
          <w:color w:val="7F7F7F" w:themeColor="text1" w:themeTint="80"/>
          <w:sz w:val="26"/>
          <w:szCs w:val="26"/>
          <w:lang w:val="es-MX" w:eastAsia="es-MX"/>
        </w:rPr>
        <w:t xml:space="preserve">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w:t>
      </w:r>
    </w:p>
    <w:p w:rsidR="001331BF" w:rsidRPr="006F525E" w:rsidRDefault="001331BF" w:rsidP="006F525E">
      <w:pPr>
        <w:pStyle w:val="Textoindependiente"/>
        <w:rPr>
          <w:rFonts w:ascii="Calibri" w:hAnsi="Calibri" w:cs="Arial"/>
          <w:color w:val="7F7F7F" w:themeColor="text1" w:themeTint="80"/>
          <w:sz w:val="20"/>
          <w:szCs w:val="20"/>
        </w:rPr>
      </w:pPr>
    </w:p>
    <w:p w:rsidR="006F525E" w:rsidRDefault="00F54858" w:rsidP="001331BF">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w:t>
      </w:r>
    </w:p>
    <w:p w:rsidR="006F525E" w:rsidRDefault="006F525E" w:rsidP="006F525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480/2015-JN</w:t>
      </w:r>
    </w:p>
    <w:p w:rsidR="006F525E" w:rsidRPr="006F525E" w:rsidRDefault="006F525E" w:rsidP="001331BF">
      <w:pPr>
        <w:pStyle w:val="Textoindependiente"/>
        <w:ind w:firstLine="708"/>
        <w:rPr>
          <w:rFonts w:ascii="Calibri" w:hAnsi="Calibri" w:cs="Arial"/>
          <w:color w:val="7F7F7F" w:themeColor="text1" w:themeTint="80"/>
          <w:sz w:val="20"/>
          <w:szCs w:val="20"/>
          <w:lang w:val="es-ES"/>
        </w:rPr>
      </w:pPr>
    </w:p>
    <w:p w:rsidR="00A32EE2" w:rsidRPr="00A32EE2" w:rsidRDefault="00A32EE2" w:rsidP="006F525E">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 xml:space="preserve">y la fecha de ese mandamiento, están </w:t>
      </w:r>
      <w:r w:rsidRPr="006B0FF3">
        <w:rPr>
          <w:rFonts w:ascii="Calibri" w:hAnsi="Calibri" w:cs="Arial"/>
          <w:b/>
          <w:color w:val="7F7F7F" w:themeColor="text1" w:themeTint="80"/>
          <w:sz w:val="26"/>
          <w:szCs w:val="26"/>
        </w:rPr>
        <w:t>escritos en letra manuscrita</w:t>
      </w:r>
      <w:r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Pr>
          <w:rFonts w:ascii="Calibri" w:hAnsi="Calibri" w:cs="Arial"/>
          <w:color w:val="7F7F7F" w:themeColor="text1" w:themeTint="80"/>
          <w:sz w:val="26"/>
          <w:szCs w:val="26"/>
        </w:rPr>
        <w:t xml:space="preserve"> inspector </w:t>
      </w:r>
      <w:r w:rsidR="006F525E">
        <w:rPr>
          <w:rFonts w:ascii="Calibri" w:hAnsi="Calibri" w:cs="Arial"/>
          <w:color w:val="7F7F7F" w:themeColor="text1" w:themeTint="80"/>
          <w:sz w:val="26"/>
          <w:szCs w:val="26"/>
        </w:rPr>
        <w:t>actuante</w:t>
      </w:r>
      <w:r w:rsidRPr="00A32EE2">
        <w:rPr>
          <w:rFonts w:ascii="Calibri" w:hAnsi="Calibri" w:cs="Arial"/>
          <w:color w:val="7F7F7F" w:themeColor="text1" w:themeTint="80"/>
          <w:sz w:val="26"/>
          <w:szCs w:val="26"/>
        </w:rPr>
        <w:t xml:space="preserve"> designó el domicilio</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r w:rsidR="006F525E">
        <w:rPr>
          <w:rFonts w:ascii="Calibri" w:hAnsi="Calibri" w:cs="Arial"/>
          <w:color w:val="7F7F7F" w:themeColor="text1" w:themeTint="80"/>
          <w:sz w:val="26"/>
          <w:szCs w:val="26"/>
        </w:rPr>
        <w:t xml:space="preserve"> . . . . . . . . . .  . . . . . . . . . . . </w:t>
      </w:r>
    </w:p>
    <w:p w:rsidR="002974BB" w:rsidRPr="006F525E" w:rsidRDefault="00F54858" w:rsidP="009A23DB">
      <w:pPr>
        <w:pStyle w:val="Textoindependiente"/>
        <w:ind w:firstLine="708"/>
        <w:rPr>
          <w:rFonts w:ascii="Calibri" w:hAnsi="Calibri" w:cs="Arial"/>
          <w:color w:val="7F7F7F" w:themeColor="text1" w:themeTint="80"/>
          <w:sz w:val="20"/>
          <w:szCs w:val="20"/>
        </w:rPr>
      </w:pPr>
      <w:r w:rsidRPr="006F525E">
        <w:rPr>
          <w:rFonts w:ascii="Calibri" w:hAnsi="Calibri" w:cs="Arial"/>
          <w:color w:val="7F7F7F" w:themeColor="text1" w:themeTint="80"/>
          <w:sz w:val="20"/>
          <w:szCs w:val="20"/>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inspección, resultó fundado y es suficiente para decretar la </w:t>
      </w:r>
      <w:r w:rsidRPr="00BF5CA7">
        <w:rPr>
          <w:rFonts w:ascii="Calibri" w:hAnsi="Calibri" w:cs="Arial"/>
          <w:color w:val="7F7F7F" w:themeColor="text1" w:themeTint="80"/>
          <w:sz w:val="26"/>
          <w:szCs w:val="26"/>
        </w:rPr>
        <w:lastRenderedPageBreak/>
        <w:t xml:space="preserve">nulidad total de los actos impugnados; resulta innecesario el estudio de los restantes conceptos de impugnación, ya que ello no cambiaría, ni afectaría el sentido de esta resolución. . . . . . . . . . . . . . . . . . . . . . . . . . . . . . . . . . . . . . . . . . . . . . </w:t>
      </w:r>
      <w:r>
        <w:rPr>
          <w:rFonts w:ascii="Calibri" w:hAnsi="Calibri" w:cs="Arial"/>
          <w:color w:val="7F7F7F" w:themeColor="text1" w:themeTint="80"/>
          <w:sz w:val="26"/>
          <w:szCs w:val="26"/>
        </w:rPr>
        <w:t xml:space="preserve">. </w:t>
      </w:r>
    </w:p>
    <w:p w:rsidR="004B3DFC" w:rsidRPr="006F525E" w:rsidRDefault="004B3DFC" w:rsidP="004B3DFC">
      <w:pPr>
        <w:pStyle w:val="Textoindependiente"/>
        <w:ind w:firstLine="708"/>
        <w:rPr>
          <w:rFonts w:ascii="Calibri" w:hAnsi="Calibri" w:cs="Arial"/>
          <w:color w:val="7F7F7F" w:themeColor="text1" w:themeTint="80"/>
          <w:sz w:val="20"/>
          <w:szCs w:val="20"/>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6F525E" w:rsidRDefault="00FA04C4" w:rsidP="004B3DFC">
      <w:pPr>
        <w:pStyle w:val="Textoindependiente"/>
        <w:ind w:firstLine="708"/>
        <w:rPr>
          <w:rFonts w:ascii="Calibri" w:hAnsi="Calibri"/>
          <w:b/>
          <w:bCs/>
          <w:i/>
          <w:iCs/>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6F525E">
        <w:rPr>
          <w:rFonts w:ascii="Calibri" w:hAnsi="Calibri"/>
          <w:b/>
          <w:bCs/>
          <w:i/>
          <w:iCs/>
          <w:color w:val="7F7F7F" w:themeColor="text1" w:themeTint="80"/>
          <w:sz w:val="24"/>
        </w:rPr>
        <w:t xml:space="preserve">“CONCEPTOS DE VIOLACION. CUANDO SU ESTUDIO ES INNECESARIO. </w:t>
      </w:r>
      <w:r w:rsidRPr="006F525E">
        <w:rPr>
          <w:rFonts w:ascii="Calibri" w:hAnsi="Calibri"/>
          <w:i/>
          <w:iCs/>
          <w:color w:val="7F7F7F" w:themeColor="text1" w:themeTint="80"/>
          <w:sz w:val="24"/>
        </w:rPr>
        <w:t>Si al considerarse fundado un concepto de violación ello trae como consecuencia la concesión del amparo, es innecesario analizar los restantes, ya que cualquiera que fuera el resultado de ese estudio, en nada variaría el sentido de la sentencia.”</w:t>
      </w:r>
      <w:r w:rsidRPr="00BF5CA7">
        <w:rPr>
          <w:rFonts w:ascii="Calibri" w:hAnsi="Calibri"/>
          <w:i/>
          <w:iCs/>
          <w:color w:val="7F7F7F" w:themeColor="text1" w:themeTint="80"/>
          <w:sz w:val="26"/>
          <w:szCs w:val="26"/>
        </w:rPr>
        <w:t xml:space="preserve">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r w:rsidR="006F525E">
        <w:rPr>
          <w:rFonts w:ascii="Calibri" w:hAnsi="Calibri" w:cs="Arial"/>
          <w:color w:val="7F7F7F" w:themeColor="text1" w:themeTint="80"/>
          <w:sz w:val="26"/>
          <w:szCs w:val="26"/>
        </w:rPr>
        <w:t xml:space="preserve">. . . . . . . . . . . . . . .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6D41F4">
        <w:rPr>
          <w:rFonts w:ascii="Calibri" w:hAnsi="Calibri"/>
          <w:color w:val="7F7F7F" w:themeColor="text1" w:themeTint="80"/>
          <w:sz w:val="26"/>
          <w:szCs w:val="26"/>
        </w:rPr>
        <w:t>12 doce de 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6F525E">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6F525E" w:rsidRDefault="008F0CF4" w:rsidP="00EA4780">
      <w:pPr>
        <w:pStyle w:val="Textoindependiente"/>
        <w:tabs>
          <w:tab w:val="left" w:pos="6662"/>
        </w:tabs>
        <w:rPr>
          <w:rFonts w:ascii="Calibri" w:hAnsi="Calibri" w:cs="Calibri"/>
          <w:bCs/>
          <w:color w:val="7F7F7F" w:themeColor="text1" w:themeTint="80"/>
          <w:sz w:val="20"/>
          <w:szCs w:val="20"/>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6F525E" w:rsidRDefault="004B3DFC" w:rsidP="004B3DFC">
      <w:pPr>
        <w:pStyle w:val="Textoindependiente"/>
        <w:rPr>
          <w:rFonts w:ascii="Calibri" w:hAnsi="Calibri" w:cs="Arial"/>
          <w:color w:val="7F7F7F" w:themeColor="text1" w:themeTint="80"/>
          <w:sz w:val="20"/>
          <w:szCs w:val="20"/>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6F525E" w:rsidRDefault="004B3DFC" w:rsidP="004B3DFC">
      <w:pPr>
        <w:jc w:val="both"/>
        <w:rPr>
          <w:rFonts w:ascii="Calibri" w:hAnsi="Calibri" w:cs="Arial"/>
          <w:b/>
          <w:bCs/>
          <w:i/>
          <w:iCs/>
          <w:color w:val="7F7F7F" w:themeColor="text1" w:themeTint="80"/>
          <w:sz w:val="20"/>
          <w:szCs w:val="20"/>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procedente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9A0057">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6F525E">
        <w:rPr>
          <w:rFonts w:ascii="Calibri" w:hAnsi="Calibri" w:cs="Arial"/>
          <w:color w:val="7F7F7F" w:themeColor="text1" w:themeTint="80"/>
          <w:sz w:val="26"/>
          <w:szCs w:val="26"/>
        </w:rPr>
        <w:t xml:space="preserve"> . . .</w:t>
      </w:r>
    </w:p>
    <w:p w:rsidR="004B3DFC" w:rsidRPr="006F525E" w:rsidRDefault="004B3DFC" w:rsidP="004B3DFC">
      <w:pPr>
        <w:jc w:val="both"/>
        <w:rPr>
          <w:rFonts w:ascii="Calibri" w:hAnsi="Calibri" w:cs="Arial"/>
          <w:b/>
          <w:bCs/>
          <w:color w:val="7F7F7F" w:themeColor="text1" w:themeTint="80"/>
          <w:sz w:val="20"/>
          <w:szCs w:val="20"/>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decreta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6D41F4">
        <w:rPr>
          <w:rFonts w:ascii="Calibri" w:hAnsi="Calibri"/>
          <w:b/>
          <w:color w:val="7F7F7F" w:themeColor="text1" w:themeTint="80"/>
          <w:sz w:val="26"/>
          <w:szCs w:val="26"/>
        </w:rPr>
        <w:t xml:space="preserve">12 </w:t>
      </w:r>
      <w:r w:rsidR="006D41F4" w:rsidRPr="00562F72">
        <w:rPr>
          <w:rFonts w:ascii="Calibri" w:hAnsi="Calibri"/>
          <w:color w:val="7F7F7F" w:themeColor="text1" w:themeTint="80"/>
          <w:sz w:val="26"/>
          <w:szCs w:val="26"/>
        </w:rPr>
        <w:t>doce de</w:t>
      </w:r>
      <w:r w:rsidR="006D41F4">
        <w:rPr>
          <w:rFonts w:ascii="Calibri" w:hAnsi="Calibri"/>
          <w:b/>
          <w:color w:val="7F7F7F" w:themeColor="text1" w:themeTint="80"/>
          <w:sz w:val="26"/>
          <w:szCs w:val="26"/>
        </w:rPr>
        <w:t xml:space="preserve"> 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DGFC/DT/0</w:t>
      </w:r>
      <w:r w:rsidR="00562F72">
        <w:rPr>
          <w:rFonts w:ascii="Calibri" w:hAnsi="Calibri"/>
          <w:b/>
          <w:color w:val="7F7F7F" w:themeColor="text1" w:themeTint="80"/>
          <w:sz w:val="26"/>
          <w:szCs w:val="26"/>
        </w:rPr>
        <w:t>261</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A13AD4">
        <w:rPr>
          <w:rFonts w:ascii="Calibri" w:hAnsi="Calibri"/>
          <w:color w:val="7F7F7F" w:themeColor="text1" w:themeTint="80"/>
          <w:sz w:val="26"/>
          <w:szCs w:val="26"/>
        </w:rPr>
        <w:t>concreta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w:t>
      </w:r>
      <w:r w:rsidR="006F525E">
        <w:rPr>
          <w:rFonts w:ascii="Calibri" w:hAnsi="Calibri" w:cs="Arial"/>
          <w:color w:val="7F7F7F" w:themeColor="text1" w:themeTint="80"/>
          <w:sz w:val="26"/>
          <w:szCs w:val="26"/>
        </w:rPr>
        <w:t xml:space="preserve"> . . . . . . </w:t>
      </w:r>
    </w:p>
    <w:p w:rsidR="004B3DFC" w:rsidRPr="006F525E" w:rsidRDefault="004B3DFC" w:rsidP="004B3DFC">
      <w:pPr>
        <w:pStyle w:val="Textoindependiente"/>
        <w:rPr>
          <w:rFonts w:ascii="Calibri" w:hAnsi="Calibri" w:cs="Calibri"/>
          <w:color w:val="7F7F7F" w:themeColor="text1" w:themeTint="80"/>
          <w:sz w:val="20"/>
          <w:szCs w:val="20"/>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lastRenderedPageBreak/>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levante la clausura</w:t>
      </w:r>
      <w:r w:rsidR="008E0AB6" w:rsidRPr="00BF5CA7">
        <w:rPr>
          <w:rFonts w:ascii="Calibri" w:hAnsi="Calibri"/>
          <w:color w:val="7F7F7F" w:themeColor="text1" w:themeTint="80"/>
          <w:sz w:val="26"/>
          <w:szCs w:val="26"/>
        </w:rPr>
        <w:t xml:space="preserve"> impuesta en fecha </w:t>
      </w:r>
      <w:r w:rsidR="006D41F4">
        <w:rPr>
          <w:rFonts w:ascii="Calibri" w:hAnsi="Calibri"/>
          <w:color w:val="7F7F7F" w:themeColor="text1" w:themeTint="80"/>
          <w:sz w:val="26"/>
          <w:szCs w:val="26"/>
        </w:rPr>
        <w:t>12 doce de mayo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calle </w:t>
      </w:r>
      <w:r w:rsidR="00656D08">
        <w:rPr>
          <w:rFonts w:ascii="Calibri" w:hAnsi="Calibri"/>
          <w:color w:val="7F7F7F" w:themeColor="text1" w:themeTint="80"/>
          <w:sz w:val="26"/>
          <w:szCs w:val="26"/>
        </w:rPr>
        <w:t>Galena</w:t>
      </w:r>
      <w:r w:rsidR="008E0AB6">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 xml:space="preserve">número </w:t>
      </w:r>
      <w:r w:rsidR="00656D08">
        <w:rPr>
          <w:rFonts w:ascii="Calibri" w:hAnsi="Calibri"/>
          <w:color w:val="7F7F7F" w:themeColor="text1" w:themeTint="80"/>
          <w:sz w:val="26"/>
          <w:szCs w:val="26"/>
        </w:rPr>
        <w:t>404 cuatrocientos cuatro</w:t>
      </w:r>
      <w:r w:rsidR="008E0AB6" w:rsidRPr="00BF5CA7">
        <w:rPr>
          <w:rFonts w:ascii="Calibri" w:hAnsi="Calibri"/>
          <w:color w:val="7F7F7F" w:themeColor="text1" w:themeTint="80"/>
          <w:sz w:val="26"/>
          <w:szCs w:val="26"/>
        </w:rPr>
        <w:t xml:space="preserve"> de la colonia </w:t>
      </w:r>
      <w:r w:rsidR="00656D08">
        <w:rPr>
          <w:rFonts w:ascii="Calibri" w:hAnsi="Calibri"/>
          <w:color w:val="7F7F7F" w:themeColor="text1" w:themeTint="80"/>
          <w:sz w:val="26"/>
          <w:szCs w:val="26"/>
        </w:rPr>
        <w:t>Villas de San Juan</w:t>
      </w:r>
      <w:r w:rsidR="008E0AB6">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de esta ciudad</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 . . . . . . . . . . . . . . . </w:t>
      </w:r>
    </w:p>
    <w:p w:rsidR="008E0AB6" w:rsidRPr="006F525E" w:rsidRDefault="008E0AB6" w:rsidP="008E0AB6">
      <w:pPr>
        <w:pStyle w:val="Textoindependiente"/>
        <w:rPr>
          <w:rFonts w:ascii="Calibri" w:hAnsi="Calibri" w:cs="Arial"/>
          <w:b/>
          <w:bCs/>
          <w:i/>
          <w:iCs/>
          <w:color w:val="7F7F7F" w:themeColor="text1" w:themeTint="80"/>
          <w:sz w:val="20"/>
          <w:szCs w:val="20"/>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r w:rsidR="006F525E">
        <w:rPr>
          <w:rFonts w:ascii="Calibri" w:hAnsi="Calibri" w:cs="Calibri"/>
          <w:color w:val="7F7F7F" w:themeColor="text1" w:themeTint="80"/>
          <w:sz w:val="26"/>
          <w:szCs w:val="26"/>
        </w:rPr>
        <w:t xml:space="preserve"> .</w:t>
      </w:r>
    </w:p>
    <w:p w:rsidR="00345365" w:rsidRPr="006F525E" w:rsidRDefault="00345365" w:rsidP="00C46636">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6F525E" w:rsidRDefault="004B3DFC" w:rsidP="004B3DFC">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6F525E" w:rsidRDefault="004B3DFC" w:rsidP="004B3DFC">
      <w:pPr>
        <w:pStyle w:val="Textoindependiente"/>
        <w:rPr>
          <w:rFonts w:ascii="Calibri" w:hAnsi="Calibri" w:cs="Arial"/>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sectPr w:rsidR="004B3DFC" w:rsidRPr="00BF5CA7" w:rsidSect="00492819">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AC" w:rsidRDefault="00512AAC">
      <w:r>
        <w:separator/>
      </w:r>
    </w:p>
  </w:endnote>
  <w:endnote w:type="continuationSeparator" w:id="0">
    <w:p w:rsidR="00512AAC" w:rsidRDefault="0051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AC" w:rsidRDefault="00512AAC">
      <w:r>
        <w:separator/>
      </w:r>
    </w:p>
  </w:footnote>
  <w:footnote w:type="continuationSeparator" w:id="0">
    <w:p w:rsidR="00512AAC" w:rsidRDefault="00512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512A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0057">
      <w:rPr>
        <w:rStyle w:val="Nmerodepgina"/>
        <w:noProof/>
      </w:rPr>
      <w:t>9</w:t>
    </w:r>
    <w:r>
      <w:rPr>
        <w:rStyle w:val="Nmerodepgina"/>
      </w:rPr>
      <w:fldChar w:fldCharType="end"/>
    </w:r>
  </w:p>
  <w:p w:rsidR="00A70119" w:rsidRDefault="00512A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4356"/>
    <w:rsid w:val="0002637B"/>
    <w:rsid w:val="000314EF"/>
    <w:rsid w:val="00074B0E"/>
    <w:rsid w:val="000909AE"/>
    <w:rsid w:val="000954F8"/>
    <w:rsid w:val="000C6B3D"/>
    <w:rsid w:val="000D6D33"/>
    <w:rsid w:val="000E019D"/>
    <w:rsid w:val="000F12ED"/>
    <w:rsid w:val="00114938"/>
    <w:rsid w:val="001331BF"/>
    <w:rsid w:val="00140A1C"/>
    <w:rsid w:val="00150E6B"/>
    <w:rsid w:val="00193C54"/>
    <w:rsid w:val="001C1EB4"/>
    <w:rsid w:val="001E492B"/>
    <w:rsid w:val="00202A4D"/>
    <w:rsid w:val="00231AD0"/>
    <w:rsid w:val="00245DB1"/>
    <w:rsid w:val="002802A8"/>
    <w:rsid w:val="002919BC"/>
    <w:rsid w:val="00295DA4"/>
    <w:rsid w:val="002974BB"/>
    <w:rsid w:val="00343E70"/>
    <w:rsid w:val="00345365"/>
    <w:rsid w:val="00363074"/>
    <w:rsid w:val="0038550B"/>
    <w:rsid w:val="003D0B6B"/>
    <w:rsid w:val="003D7A65"/>
    <w:rsid w:val="0041005A"/>
    <w:rsid w:val="004328C1"/>
    <w:rsid w:val="00436BB1"/>
    <w:rsid w:val="004618FE"/>
    <w:rsid w:val="0047708E"/>
    <w:rsid w:val="00492819"/>
    <w:rsid w:val="004A41DC"/>
    <w:rsid w:val="004B3DFC"/>
    <w:rsid w:val="004F4F37"/>
    <w:rsid w:val="00512AAC"/>
    <w:rsid w:val="00541CDF"/>
    <w:rsid w:val="00545C51"/>
    <w:rsid w:val="00562A66"/>
    <w:rsid w:val="00562F72"/>
    <w:rsid w:val="00577C15"/>
    <w:rsid w:val="005820E3"/>
    <w:rsid w:val="005C1EF8"/>
    <w:rsid w:val="005D15CD"/>
    <w:rsid w:val="006071F6"/>
    <w:rsid w:val="0064042F"/>
    <w:rsid w:val="00656D08"/>
    <w:rsid w:val="00684D24"/>
    <w:rsid w:val="00685ED2"/>
    <w:rsid w:val="006B0FF3"/>
    <w:rsid w:val="006D41F4"/>
    <w:rsid w:val="006E1F7A"/>
    <w:rsid w:val="006E5AA9"/>
    <w:rsid w:val="006F3DF8"/>
    <w:rsid w:val="006F525E"/>
    <w:rsid w:val="006F63DA"/>
    <w:rsid w:val="006F74D0"/>
    <w:rsid w:val="0070292F"/>
    <w:rsid w:val="00706056"/>
    <w:rsid w:val="00711C4D"/>
    <w:rsid w:val="00736742"/>
    <w:rsid w:val="00784CB8"/>
    <w:rsid w:val="007926D3"/>
    <w:rsid w:val="007B3DCF"/>
    <w:rsid w:val="007D67C9"/>
    <w:rsid w:val="0080464C"/>
    <w:rsid w:val="008063DD"/>
    <w:rsid w:val="00806BD3"/>
    <w:rsid w:val="0081541A"/>
    <w:rsid w:val="00832B72"/>
    <w:rsid w:val="00833B37"/>
    <w:rsid w:val="008440EF"/>
    <w:rsid w:val="008560BC"/>
    <w:rsid w:val="00882A95"/>
    <w:rsid w:val="008A53D5"/>
    <w:rsid w:val="008A5D63"/>
    <w:rsid w:val="008B535A"/>
    <w:rsid w:val="008B6F66"/>
    <w:rsid w:val="008C61C6"/>
    <w:rsid w:val="008C6950"/>
    <w:rsid w:val="008E0AB6"/>
    <w:rsid w:val="008F0CF4"/>
    <w:rsid w:val="008F687C"/>
    <w:rsid w:val="00920B03"/>
    <w:rsid w:val="00927369"/>
    <w:rsid w:val="009429E2"/>
    <w:rsid w:val="009466BA"/>
    <w:rsid w:val="00951162"/>
    <w:rsid w:val="00951532"/>
    <w:rsid w:val="009661F2"/>
    <w:rsid w:val="0098360E"/>
    <w:rsid w:val="00992C9C"/>
    <w:rsid w:val="009A0057"/>
    <w:rsid w:val="009A23DB"/>
    <w:rsid w:val="009A50BE"/>
    <w:rsid w:val="009A69D8"/>
    <w:rsid w:val="009B4234"/>
    <w:rsid w:val="009B4FBA"/>
    <w:rsid w:val="009C1B64"/>
    <w:rsid w:val="009E10FA"/>
    <w:rsid w:val="009E15DC"/>
    <w:rsid w:val="00A02F6E"/>
    <w:rsid w:val="00A13AD4"/>
    <w:rsid w:val="00A217CD"/>
    <w:rsid w:val="00A2439F"/>
    <w:rsid w:val="00A32EE2"/>
    <w:rsid w:val="00A57007"/>
    <w:rsid w:val="00A8545F"/>
    <w:rsid w:val="00A93CBE"/>
    <w:rsid w:val="00A97819"/>
    <w:rsid w:val="00A97A65"/>
    <w:rsid w:val="00AB7C8F"/>
    <w:rsid w:val="00AC206B"/>
    <w:rsid w:val="00AC308A"/>
    <w:rsid w:val="00AE1A6F"/>
    <w:rsid w:val="00AE3E7D"/>
    <w:rsid w:val="00B05B82"/>
    <w:rsid w:val="00B2592C"/>
    <w:rsid w:val="00B427DE"/>
    <w:rsid w:val="00B62D66"/>
    <w:rsid w:val="00B65360"/>
    <w:rsid w:val="00B75A23"/>
    <w:rsid w:val="00B75DD6"/>
    <w:rsid w:val="00BF0BF6"/>
    <w:rsid w:val="00BF6197"/>
    <w:rsid w:val="00C10076"/>
    <w:rsid w:val="00C10164"/>
    <w:rsid w:val="00C464F2"/>
    <w:rsid w:val="00C46636"/>
    <w:rsid w:val="00C73B77"/>
    <w:rsid w:val="00CA2C14"/>
    <w:rsid w:val="00CE22B5"/>
    <w:rsid w:val="00CE396D"/>
    <w:rsid w:val="00CF084B"/>
    <w:rsid w:val="00CF7B38"/>
    <w:rsid w:val="00D1202C"/>
    <w:rsid w:val="00D14E8F"/>
    <w:rsid w:val="00D30188"/>
    <w:rsid w:val="00D4766E"/>
    <w:rsid w:val="00D47B32"/>
    <w:rsid w:val="00D61484"/>
    <w:rsid w:val="00D77803"/>
    <w:rsid w:val="00D77B11"/>
    <w:rsid w:val="00DB641E"/>
    <w:rsid w:val="00DE0314"/>
    <w:rsid w:val="00DF3DD6"/>
    <w:rsid w:val="00E0072D"/>
    <w:rsid w:val="00E16C1B"/>
    <w:rsid w:val="00E31BEB"/>
    <w:rsid w:val="00E54AA9"/>
    <w:rsid w:val="00E77635"/>
    <w:rsid w:val="00E83986"/>
    <w:rsid w:val="00E921E2"/>
    <w:rsid w:val="00E950DE"/>
    <w:rsid w:val="00E959B2"/>
    <w:rsid w:val="00EA36B8"/>
    <w:rsid w:val="00EA4780"/>
    <w:rsid w:val="00EC7D6A"/>
    <w:rsid w:val="00ED6DEA"/>
    <w:rsid w:val="00EE4879"/>
    <w:rsid w:val="00F52045"/>
    <w:rsid w:val="00F54858"/>
    <w:rsid w:val="00F73726"/>
    <w:rsid w:val="00F95EF2"/>
    <w:rsid w:val="00FA04C4"/>
    <w:rsid w:val="00FA5D2E"/>
    <w:rsid w:val="00FA79FD"/>
    <w:rsid w:val="00FB6D86"/>
    <w:rsid w:val="00FC2718"/>
    <w:rsid w:val="00FC6D4E"/>
    <w:rsid w:val="00FE0446"/>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493953701">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221748355">
      <w:bodyDiv w:val="1"/>
      <w:marLeft w:val="0"/>
      <w:marRight w:val="0"/>
      <w:marTop w:val="0"/>
      <w:marBottom w:val="0"/>
      <w:divBdr>
        <w:top w:val="none" w:sz="0" w:space="0" w:color="auto"/>
        <w:left w:val="none" w:sz="0" w:space="0" w:color="auto"/>
        <w:bottom w:val="none" w:sz="0" w:space="0" w:color="auto"/>
        <w:right w:val="none" w:sz="0" w:space="0" w:color="auto"/>
      </w:divBdr>
    </w:div>
    <w:div w:id="1883588553">
      <w:bodyDiv w:val="1"/>
      <w:marLeft w:val="0"/>
      <w:marRight w:val="0"/>
      <w:marTop w:val="0"/>
      <w:marBottom w:val="0"/>
      <w:divBdr>
        <w:top w:val="none" w:sz="0" w:space="0" w:color="auto"/>
        <w:left w:val="none" w:sz="0" w:space="0" w:color="auto"/>
        <w:bottom w:val="none" w:sz="0" w:space="0" w:color="auto"/>
        <w:right w:val="none" w:sz="0" w:space="0" w:color="auto"/>
      </w:divBdr>
    </w:div>
    <w:div w:id="204355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4357</Words>
  <Characters>23967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2017-03-31T15:26:00Z</dcterms:created>
  <dcterms:modified xsi:type="dcterms:W3CDTF">2017-03-31T15:26:00Z</dcterms:modified>
</cp:coreProperties>
</file>